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84C58" w14:textId="3C9A540D" w:rsidR="008E6FBD" w:rsidRDefault="008E6FBD" w:rsidP="008E6FBD">
      <w:pPr>
        <w:pStyle w:val="NormalWeb"/>
        <w:spacing w:before="0" w:beforeAutospacing="0"/>
        <w:jc w:val="center"/>
        <w:rPr>
          <w:rFonts w:ascii="Arial" w:hAnsi="Arial" w:cs="Arial"/>
          <w:b/>
          <w:bCs/>
          <w:color w:val="0A0A0A"/>
          <w:sz w:val="28"/>
          <w:szCs w:val="28"/>
        </w:rPr>
      </w:pPr>
      <w:r w:rsidRPr="008E6FBD">
        <w:rPr>
          <w:rFonts w:ascii="Arial" w:hAnsi="Arial" w:cs="Arial"/>
          <w:b/>
          <w:bCs/>
          <w:color w:val="0A0A0A"/>
          <w:sz w:val="28"/>
          <w:szCs w:val="28"/>
        </w:rPr>
        <w:t>Duty of Candour Workshop</w:t>
      </w:r>
      <w:r w:rsidR="00B54931">
        <w:rPr>
          <w:rFonts w:ascii="Arial" w:hAnsi="Arial" w:cs="Arial"/>
          <w:b/>
          <w:bCs/>
          <w:color w:val="0A0A0A"/>
          <w:sz w:val="28"/>
          <w:szCs w:val="28"/>
        </w:rPr>
        <w:t>s</w:t>
      </w:r>
    </w:p>
    <w:p w14:paraId="07974181" w14:textId="77777777" w:rsidR="00B54931" w:rsidRPr="008E6FBD" w:rsidRDefault="00B54931" w:rsidP="008E6FBD">
      <w:pPr>
        <w:pStyle w:val="NormalWeb"/>
        <w:spacing w:before="0" w:beforeAutospacing="0"/>
        <w:jc w:val="center"/>
        <w:rPr>
          <w:rFonts w:ascii="Arial" w:hAnsi="Arial" w:cs="Arial"/>
          <w:b/>
          <w:bCs/>
          <w:color w:val="0A0A0A"/>
          <w:sz w:val="28"/>
          <w:szCs w:val="28"/>
        </w:rPr>
      </w:pPr>
    </w:p>
    <w:p w14:paraId="153C835D" w14:textId="77777777" w:rsidR="008E6FBD" w:rsidRPr="008E6FBD" w:rsidRDefault="008E6FBD" w:rsidP="0031412C">
      <w:pPr>
        <w:pStyle w:val="NormalWeb"/>
        <w:spacing w:before="0" w:beforeAutospacing="0"/>
        <w:rPr>
          <w:rFonts w:ascii="Arial" w:hAnsi="Arial" w:cs="Arial"/>
          <w:color w:val="0A0A0A"/>
          <w:sz w:val="22"/>
          <w:szCs w:val="22"/>
        </w:rPr>
      </w:pPr>
    </w:p>
    <w:p w14:paraId="7ADF9516" w14:textId="3EAC7A4B" w:rsidR="002370D3" w:rsidRDefault="00B7217C" w:rsidP="00490E07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  <w:r w:rsidRPr="00490E07">
        <w:rPr>
          <w:rFonts w:ascii="Arial" w:hAnsi="Arial" w:cs="Arial"/>
          <w:color w:val="0A0A0A"/>
        </w:rPr>
        <w:t xml:space="preserve">Healthcare Providers must be open and transparent with patients about their care and treatment, including when things go wrong.  </w:t>
      </w:r>
      <w:r w:rsidRPr="00490E07">
        <w:rPr>
          <w:rFonts w:ascii="Arial" w:hAnsi="Arial" w:cs="Arial"/>
          <w:color w:val="333333"/>
          <w:shd w:val="clear" w:color="auto" w:fill="FFFFFF"/>
        </w:rPr>
        <w:t xml:space="preserve">The principle of being open and honest with patients and their families when harm </w:t>
      </w:r>
      <w:r w:rsidR="00850AB8" w:rsidRPr="00490E07">
        <w:rPr>
          <w:rFonts w:ascii="Arial" w:hAnsi="Arial" w:cs="Arial"/>
          <w:color w:val="333333"/>
          <w:shd w:val="clear" w:color="auto" w:fill="FFFFFF"/>
        </w:rPr>
        <w:t xml:space="preserve">does </w:t>
      </w:r>
      <w:r w:rsidRPr="00490E07">
        <w:rPr>
          <w:rFonts w:ascii="Arial" w:hAnsi="Arial" w:cs="Arial"/>
          <w:color w:val="333333"/>
          <w:shd w:val="clear" w:color="auto" w:fill="FFFFFF"/>
        </w:rPr>
        <w:t>occur</w:t>
      </w:r>
      <w:r w:rsidR="002370D3" w:rsidRPr="00490E07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490E07">
        <w:rPr>
          <w:rFonts w:ascii="Arial" w:hAnsi="Arial" w:cs="Arial"/>
          <w:color w:val="333333"/>
          <w:shd w:val="clear" w:color="auto" w:fill="FFFFFF"/>
        </w:rPr>
        <w:t xml:space="preserve">is a fundamental </w:t>
      </w:r>
      <w:r w:rsidR="00D5170A" w:rsidRPr="00490E07">
        <w:rPr>
          <w:rFonts w:ascii="Arial" w:hAnsi="Arial" w:cs="Arial"/>
          <w:color w:val="333333"/>
          <w:shd w:val="clear" w:color="auto" w:fill="FFFFFF"/>
        </w:rPr>
        <w:t>tenant</w:t>
      </w:r>
      <w:r w:rsidRPr="00490E07">
        <w:rPr>
          <w:rFonts w:ascii="Arial" w:hAnsi="Arial" w:cs="Arial"/>
          <w:color w:val="333333"/>
          <w:shd w:val="clear" w:color="auto" w:fill="FFFFFF"/>
        </w:rPr>
        <w:t xml:space="preserve"> of </w:t>
      </w:r>
      <w:r w:rsidR="002370D3" w:rsidRPr="00490E07">
        <w:rPr>
          <w:rFonts w:ascii="Arial" w:hAnsi="Arial" w:cs="Arial"/>
          <w:color w:val="333333"/>
          <w:shd w:val="clear" w:color="auto" w:fill="FFFFFF"/>
        </w:rPr>
        <w:t xml:space="preserve">any </w:t>
      </w:r>
      <w:r w:rsidRPr="00490E07">
        <w:rPr>
          <w:rFonts w:ascii="Arial" w:hAnsi="Arial" w:cs="Arial"/>
          <w:color w:val="333333"/>
          <w:shd w:val="clear" w:color="auto" w:fill="FFFFFF"/>
        </w:rPr>
        <w:t xml:space="preserve">healthcare professional.  </w:t>
      </w:r>
      <w:r w:rsidR="002370D3" w:rsidRPr="002370D3">
        <w:rPr>
          <w:rFonts w:ascii="Arial" w:hAnsi="Arial" w:cs="Arial"/>
        </w:rPr>
        <w:t xml:space="preserve">Developing an empathic approach </w:t>
      </w:r>
      <w:r w:rsidR="002370D3" w:rsidRPr="00490E07">
        <w:rPr>
          <w:rFonts w:ascii="Arial" w:hAnsi="Arial" w:cs="Arial"/>
        </w:rPr>
        <w:t xml:space="preserve">which is authentic and meaningful to people is at the heart of </w:t>
      </w:r>
      <w:r w:rsidR="0031412C" w:rsidRPr="00490E07">
        <w:rPr>
          <w:rFonts w:ascii="Arial" w:hAnsi="Arial" w:cs="Arial"/>
        </w:rPr>
        <w:t>duty of candour</w:t>
      </w:r>
      <w:r w:rsidR="004566FA">
        <w:rPr>
          <w:rFonts w:ascii="Arial" w:hAnsi="Arial" w:cs="Arial"/>
        </w:rPr>
        <w:t xml:space="preserve"> and </w:t>
      </w:r>
      <w:r w:rsidR="0031412C" w:rsidRPr="00490E07">
        <w:rPr>
          <w:rFonts w:ascii="Arial" w:hAnsi="Arial" w:cs="Arial"/>
        </w:rPr>
        <w:t xml:space="preserve">must be the </w:t>
      </w:r>
      <w:r w:rsidR="00D5170A" w:rsidRPr="00490E07">
        <w:rPr>
          <w:rFonts w:ascii="Arial" w:hAnsi="Arial" w:cs="Arial"/>
        </w:rPr>
        <w:t>corn</w:t>
      </w:r>
      <w:r w:rsidR="00D5170A">
        <w:rPr>
          <w:rFonts w:ascii="Arial" w:hAnsi="Arial" w:cs="Arial"/>
        </w:rPr>
        <w:t>erstone</w:t>
      </w:r>
      <w:r w:rsidR="0031412C" w:rsidRPr="00490E07">
        <w:rPr>
          <w:rFonts w:ascii="Arial" w:hAnsi="Arial" w:cs="Arial"/>
        </w:rPr>
        <w:t xml:space="preserve"> of any </w:t>
      </w:r>
      <w:r w:rsidR="00D5170A" w:rsidRPr="00490E07">
        <w:rPr>
          <w:rFonts w:ascii="Arial" w:hAnsi="Arial" w:cs="Arial"/>
        </w:rPr>
        <w:t>clinical</w:t>
      </w:r>
      <w:r w:rsidR="0031412C" w:rsidRPr="00490E07">
        <w:rPr>
          <w:rFonts w:ascii="Arial" w:hAnsi="Arial" w:cs="Arial"/>
        </w:rPr>
        <w:t xml:space="preserve"> service </w:t>
      </w:r>
      <w:r w:rsidR="004566FA">
        <w:rPr>
          <w:rFonts w:ascii="Arial" w:hAnsi="Arial" w:cs="Arial"/>
        </w:rPr>
        <w:t>if we are t</w:t>
      </w:r>
      <w:r w:rsidR="0031412C" w:rsidRPr="00490E07">
        <w:rPr>
          <w:rFonts w:ascii="Arial" w:hAnsi="Arial" w:cs="Arial"/>
        </w:rPr>
        <w:t xml:space="preserve">o avoid further psychological harm to patients and their families. </w:t>
      </w:r>
    </w:p>
    <w:p w14:paraId="0F1EAE0A" w14:textId="77777777" w:rsidR="00490E07" w:rsidRPr="002370D3" w:rsidRDefault="00490E07" w:rsidP="00490E07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</w:p>
    <w:p w14:paraId="365AC719" w14:textId="327744D7" w:rsidR="008E6FBD" w:rsidRPr="00490E07" w:rsidRDefault="0031412C" w:rsidP="00490E07">
      <w:pPr>
        <w:spacing w:line="360" w:lineRule="auto"/>
        <w:rPr>
          <w:rFonts w:ascii="Arial" w:eastAsia="Times New Roman" w:hAnsi="Arial" w:cs="Arial"/>
          <w:lang w:eastAsia="en-GB"/>
        </w:rPr>
      </w:pPr>
      <w:r w:rsidRPr="00490E07">
        <w:rPr>
          <w:rFonts w:ascii="Arial" w:hAnsi="Arial" w:cs="Arial"/>
          <w:color w:val="0A0A0A"/>
        </w:rPr>
        <w:t xml:space="preserve">This </w:t>
      </w:r>
      <w:r w:rsidR="00B7217C" w:rsidRPr="00490E07">
        <w:rPr>
          <w:rFonts w:ascii="Arial" w:hAnsi="Arial" w:cs="Arial"/>
          <w:color w:val="0A0A0A"/>
        </w:rPr>
        <w:t xml:space="preserve">workshop provides </w:t>
      </w:r>
      <w:r w:rsidRPr="00490E07">
        <w:rPr>
          <w:rFonts w:ascii="Arial" w:hAnsi="Arial" w:cs="Arial"/>
          <w:color w:val="0A0A0A"/>
        </w:rPr>
        <w:t>learners</w:t>
      </w:r>
      <w:r w:rsidR="00B7217C" w:rsidRPr="00490E07">
        <w:rPr>
          <w:rFonts w:ascii="Arial" w:hAnsi="Arial" w:cs="Arial"/>
          <w:color w:val="0A0A0A"/>
        </w:rPr>
        <w:t xml:space="preserve"> with </w:t>
      </w:r>
      <w:r w:rsidRPr="00490E07">
        <w:rPr>
          <w:rFonts w:ascii="Arial" w:hAnsi="Arial" w:cs="Arial"/>
          <w:color w:val="0A0A0A"/>
        </w:rPr>
        <w:t xml:space="preserve">a knowledge and </w:t>
      </w:r>
      <w:r w:rsidR="00B7217C" w:rsidRPr="00490E07">
        <w:rPr>
          <w:rFonts w:ascii="Arial" w:hAnsi="Arial" w:cs="Arial"/>
          <w:color w:val="0A0A0A"/>
        </w:rPr>
        <w:t xml:space="preserve">understanding of the principles of duty of candour and </w:t>
      </w:r>
      <w:r w:rsidRPr="00490E07">
        <w:rPr>
          <w:rFonts w:ascii="Arial" w:hAnsi="Arial" w:cs="Arial"/>
          <w:color w:val="0A0A0A"/>
        </w:rPr>
        <w:t xml:space="preserve">its application to </w:t>
      </w:r>
      <w:r w:rsidR="004566FA">
        <w:rPr>
          <w:rFonts w:ascii="Arial" w:hAnsi="Arial" w:cs="Arial"/>
          <w:color w:val="0A0A0A"/>
        </w:rPr>
        <w:t>practice.</w:t>
      </w:r>
      <w:r w:rsidRPr="00490E07">
        <w:rPr>
          <w:rFonts w:ascii="Arial" w:hAnsi="Arial" w:cs="Arial"/>
          <w:color w:val="0A0A0A"/>
        </w:rPr>
        <w:t xml:space="preserve"> </w:t>
      </w:r>
      <w:r w:rsidR="004566FA">
        <w:rPr>
          <w:rFonts w:ascii="Arial" w:hAnsi="Arial" w:cs="Arial"/>
          <w:color w:val="0A0A0A"/>
        </w:rPr>
        <w:t xml:space="preserve"> The workshop will </w:t>
      </w:r>
      <w:r w:rsidR="008E6FBD" w:rsidRPr="00490E07">
        <w:rPr>
          <w:rFonts w:ascii="Arial" w:eastAsia="Times New Roman" w:hAnsi="Arial" w:cs="Arial"/>
          <w:color w:val="333333"/>
          <w:shd w:val="clear" w:color="auto" w:fill="FFFFFF"/>
          <w:lang w:eastAsia="en-GB"/>
        </w:rPr>
        <w:t xml:space="preserve">cover </w:t>
      </w:r>
      <w:r w:rsidR="004566FA">
        <w:rPr>
          <w:rFonts w:ascii="Arial" w:eastAsia="Times New Roman" w:hAnsi="Arial" w:cs="Arial"/>
          <w:color w:val="333333"/>
          <w:shd w:val="clear" w:color="auto" w:fill="FFFFFF"/>
          <w:lang w:eastAsia="en-GB"/>
        </w:rPr>
        <w:t xml:space="preserve">statutory, </w:t>
      </w:r>
      <w:r w:rsidR="004566FA" w:rsidRPr="00490E07">
        <w:rPr>
          <w:rFonts w:ascii="Arial" w:eastAsia="Times New Roman" w:hAnsi="Arial" w:cs="Arial"/>
          <w:color w:val="333333"/>
          <w:shd w:val="clear" w:color="auto" w:fill="FFFFFF"/>
          <w:lang w:eastAsia="en-GB"/>
        </w:rPr>
        <w:t>national,</w:t>
      </w:r>
      <w:r w:rsidR="008E6FBD" w:rsidRPr="00490E07">
        <w:rPr>
          <w:rFonts w:ascii="Arial" w:eastAsia="Times New Roman" w:hAnsi="Arial" w:cs="Arial"/>
          <w:color w:val="333333"/>
          <w:shd w:val="clear" w:color="auto" w:fill="FFFFFF"/>
          <w:lang w:eastAsia="en-GB"/>
        </w:rPr>
        <w:t xml:space="preserve"> and local </w:t>
      </w:r>
      <w:r w:rsidR="001E5560" w:rsidRPr="00490E07">
        <w:rPr>
          <w:rFonts w:ascii="Arial" w:eastAsia="Times New Roman" w:hAnsi="Arial" w:cs="Arial"/>
          <w:color w:val="333333"/>
          <w:shd w:val="clear" w:color="auto" w:fill="FFFFFF"/>
          <w:lang w:eastAsia="en-GB"/>
        </w:rPr>
        <w:t xml:space="preserve">good practice </w:t>
      </w:r>
      <w:r w:rsidR="008E6FBD" w:rsidRPr="00490E07">
        <w:rPr>
          <w:rFonts w:ascii="Arial" w:eastAsia="Times New Roman" w:hAnsi="Arial" w:cs="Arial"/>
          <w:color w:val="333333"/>
          <w:shd w:val="clear" w:color="auto" w:fill="FFFFFF"/>
          <w:lang w:eastAsia="en-GB"/>
        </w:rPr>
        <w:t>guid</w:t>
      </w:r>
      <w:r w:rsidR="001E5560" w:rsidRPr="00490E07">
        <w:rPr>
          <w:rFonts w:ascii="Arial" w:eastAsia="Times New Roman" w:hAnsi="Arial" w:cs="Arial"/>
          <w:color w:val="333333"/>
          <w:shd w:val="clear" w:color="auto" w:fill="FFFFFF"/>
          <w:lang w:eastAsia="en-GB"/>
        </w:rPr>
        <w:t>elines</w:t>
      </w:r>
      <w:r w:rsidR="004566FA">
        <w:rPr>
          <w:rFonts w:ascii="Arial" w:eastAsia="Times New Roman" w:hAnsi="Arial" w:cs="Arial"/>
          <w:color w:val="333333"/>
          <w:shd w:val="clear" w:color="auto" w:fill="FFFFFF"/>
          <w:lang w:eastAsia="en-GB"/>
        </w:rPr>
        <w:t xml:space="preserve"> of Duty of Candour. It will</w:t>
      </w:r>
      <w:r w:rsidR="001E5560" w:rsidRPr="00490E07">
        <w:rPr>
          <w:rFonts w:ascii="Arial" w:eastAsia="Times New Roman" w:hAnsi="Arial" w:cs="Arial"/>
          <w:color w:val="333333"/>
          <w:shd w:val="clear" w:color="auto" w:fill="FFFFFF"/>
          <w:lang w:eastAsia="en-GB"/>
        </w:rPr>
        <w:t xml:space="preserve"> explore </w:t>
      </w:r>
      <w:r w:rsidR="008E6FBD" w:rsidRPr="00490E07">
        <w:rPr>
          <w:rFonts w:ascii="Arial" w:eastAsia="Times New Roman" w:hAnsi="Arial" w:cs="Arial"/>
          <w:color w:val="333333"/>
          <w:shd w:val="clear" w:color="auto" w:fill="FFFFFF"/>
          <w:lang w:eastAsia="en-GB"/>
        </w:rPr>
        <w:t>dealing with difficult situations which may arise</w:t>
      </w:r>
      <w:r w:rsidR="001E5560" w:rsidRPr="00490E07">
        <w:rPr>
          <w:rFonts w:ascii="Arial" w:eastAsia="Times New Roman" w:hAnsi="Arial" w:cs="Arial"/>
          <w:color w:val="333333"/>
          <w:shd w:val="clear" w:color="auto" w:fill="FFFFFF"/>
          <w:lang w:eastAsia="en-GB"/>
        </w:rPr>
        <w:t xml:space="preserve">, and how to </w:t>
      </w:r>
      <w:r w:rsidR="008E6FBD" w:rsidRPr="00490E07">
        <w:rPr>
          <w:rFonts w:ascii="Arial" w:eastAsia="Times New Roman" w:hAnsi="Arial" w:cs="Arial"/>
          <w:color w:val="333333"/>
          <w:shd w:val="clear" w:color="auto" w:fill="FFFFFF"/>
          <w:lang w:eastAsia="en-GB"/>
        </w:rPr>
        <w:t xml:space="preserve">work </w:t>
      </w:r>
      <w:r w:rsidR="004566FA">
        <w:rPr>
          <w:rFonts w:ascii="Arial" w:eastAsia="Times New Roman" w:hAnsi="Arial" w:cs="Arial"/>
          <w:color w:val="333333"/>
          <w:shd w:val="clear" w:color="auto" w:fill="FFFFFF"/>
          <w:lang w:eastAsia="en-GB"/>
        </w:rPr>
        <w:t xml:space="preserve">and communicate effectively </w:t>
      </w:r>
      <w:r w:rsidR="008E6FBD" w:rsidRPr="00490E07">
        <w:rPr>
          <w:rFonts w:ascii="Arial" w:eastAsia="Times New Roman" w:hAnsi="Arial" w:cs="Arial"/>
          <w:color w:val="333333"/>
          <w:shd w:val="clear" w:color="auto" w:fill="FFFFFF"/>
          <w:lang w:eastAsia="en-GB"/>
        </w:rPr>
        <w:t xml:space="preserve">with patients and </w:t>
      </w:r>
      <w:r w:rsidR="001E5560" w:rsidRPr="00490E07">
        <w:rPr>
          <w:rFonts w:ascii="Arial" w:eastAsia="Times New Roman" w:hAnsi="Arial" w:cs="Arial"/>
          <w:color w:val="333333"/>
          <w:shd w:val="clear" w:color="auto" w:fill="FFFFFF"/>
          <w:lang w:eastAsia="en-GB"/>
        </w:rPr>
        <w:t xml:space="preserve">their families </w:t>
      </w:r>
      <w:r w:rsidR="008E6FBD" w:rsidRPr="00490E07">
        <w:rPr>
          <w:rFonts w:ascii="Arial" w:eastAsia="Times New Roman" w:hAnsi="Arial" w:cs="Arial"/>
          <w:color w:val="333333"/>
          <w:shd w:val="clear" w:color="auto" w:fill="FFFFFF"/>
          <w:lang w:eastAsia="en-GB"/>
        </w:rPr>
        <w:t>in a way that puts the</w:t>
      </w:r>
      <w:r w:rsidR="004566FA">
        <w:rPr>
          <w:rFonts w:ascii="Arial" w:eastAsia="Times New Roman" w:hAnsi="Arial" w:cs="Arial"/>
          <w:color w:val="333333"/>
          <w:shd w:val="clear" w:color="auto" w:fill="FFFFFF"/>
          <w:lang w:eastAsia="en-GB"/>
        </w:rPr>
        <w:t>ir</w:t>
      </w:r>
      <w:r w:rsidR="008E6FBD" w:rsidRPr="00490E07">
        <w:rPr>
          <w:rFonts w:ascii="Arial" w:eastAsia="Times New Roman" w:hAnsi="Arial" w:cs="Arial"/>
          <w:color w:val="333333"/>
          <w:shd w:val="clear" w:color="auto" w:fill="FFFFFF"/>
          <w:lang w:eastAsia="en-GB"/>
        </w:rPr>
        <w:t> experience</w:t>
      </w:r>
      <w:r w:rsidR="004566FA">
        <w:rPr>
          <w:rFonts w:ascii="Arial" w:eastAsia="Times New Roman" w:hAnsi="Arial" w:cs="Arial"/>
          <w:color w:val="333333"/>
          <w:shd w:val="clear" w:color="auto" w:fill="FFFFFF"/>
          <w:lang w:eastAsia="en-GB"/>
        </w:rPr>
        <w:t>s</w:t>
      </w:r>
      <w:r w:rsidR="008E6FBD" w:rsidRPr="00490E07">
        <w:rPr>
          <w:rFonts w:ascii="Arial" w:eastAsia="Times New Roman" w:hAnsi="Arial" w:cs="Arial"/>
          <w:color w:val="333333"/>
          <w:shd w:val="clear" w:color="auto" w:fill="FFFFFF"/>
          <w:lang w:eastAsia="en-GB"/>
        </w:rPr>
        <w:t xml:space="preserve"> at the heart of </w:t>
      </w:r>
      <w:r w:rsidR="004566FA">
        <w:rPr>
          <w:rFonts w:ascii="Arial" w:eastAsia="Times New Roman" w:hAnsi="Arial" w:cs="Arial"/>
          <w:color w:val="333333"/>
          <w:shd w:val="clear" w:color="auto" w:fill="FFFFFF"/>
          <w:lang w:eastAsia="en-GB"/>
        </w:rPr>
        <w:t>everything we do</w:t>
      </w:r>
      <w:r w:rsidR="008E6FBD" w:rsidRPr="00490E07">
        <w:rPr>
          <w:rFonts w:ascii="Arial" w:eastAsia="Times New Roman" w:hAnsi="Arial" w:cs="Arial"/>
          <w:color w:val="333333"/>
          <w:shd w:val="clear" w:color="auto" w:fill="FFFFFF"/>
          <w:lang w:eastAsia="en-GB"/>
        </w:rPr>
        <w:t>.</w:t>
      </w:r>
    </w:p>
    <w:p w14:paraId="6277C76B" w14:textId="77777777" w:rsidR="00490E07" w:rsidRDefault="00490E07" w:rsidP="00490E07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A0A0A"/>
        </w:rPr>
      </w:pPr>
    </w:p>
    <w:p w14:paraId="437ED61D" w14:textId="282A4CA8" w:rsidR="00B7217C" w:rsidRDefault="0031412C" w:rsidP="00490E07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A0A0A"/>
        </w:rPr>
      </w:pPr>
      <w:r w:rsidRPr="00490E07">
        <w:rPr>
          <w:rFonts w:ascii="Arial" w:hAnsi="Arial" w:cs="Arial"/>
          <w:b/>
          <w:bCs/>
          <w:color w:val="0A0A0A"/>
        </w:rPr>
        <w:t>The aims of the workshop will explore:</w:t>
      </w:r>
    </w:p>
    <w:p w14:paraId="79CB9B60" w14:textId="77777777" w:rsidR="00490E07" w:rsidRPr="00490E07" w:rsidRDefault="00490E07" w:rsidP="00490E07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</w:rPr>
      </w:pPr>
    </w:p>
    <w:p w14:paraId="2DB1C150" w14:textId="1B7C01D2" w:rsidR="008E6FBD" w:rsidRPr="00490E07" w:rsidRDefault="00B7217C" w:rsidP="00490E07">
      <w:pPr>
        <w:pStyle w:val="NormalWeb"/>
        <w:numPr>
          <w:ilvl w:val="0"/>
          <w:numId w:val="5"/>
        </w:numPr>
        <w:spacing w:before="0" w:beforeAutospacing="0" w:after="0" w:afterAutospacing="0"/>
        <w:ind w:left="714" w:hanging="357"/>
        <w:rPr>
          <w:rFonts w:ascii="Arial" w:hAnsi="Arial" w:cs="Arial"/>
        </w:rPr>
      </w:pPr>
      <w:r w:rsidRPr="00490E07">
        <w:rPr>
          <w:rFonts w:ascii="Arial" w:hAnsi="Arial" w:cs="Arial"/>
        </w:rPr>
        <w:t xml:space="preserve">Background and context to statutory duty of candour </w:t>
      </w:r>
      <w:r w:rsidR="008E6FBD" w:rsidRPr="00490E07">
        <w:rPr>
          <w:rFonts w:ascii="Arial" w:hAnsi="Arial" w:cs="Arial"/>
        </w:rPr>
        <w:t>and w</w:t>
      </w:r>
      <w:r w:rsidRPr="00490E07">
        <w:rPr>
          <w:rFonts w:ascii="Arial" w:hAnsi="Arial" w:cs="Arial"/>
        </w:rPr>
        <w:t xml:space="preserve">here it </w:t>
      </w:r>
      <w:r w:rsidR="008E6FBD" w:rsidRPr="00490E07">
        <w:rPr>
          <w:rFonts w:ascii="Arial" w:hAnsi="Arial" w:cs="Arial"/>
        </w:rPr>
        <w:t xml:space="preserve">sits </w:t>
      </w:r>
      <w:r w:rsidRPr="00490E07">
        <w:rPr>
          <w:rFonts w:ascii="Arial" w:hAnsi="Arial" w:cs="Arial"/>
        </w:rPr>
        <w:t>with professional and contractual duties of candour</w:t>
      </w:r>
      <w:r w:rsidR="008E6FBD" w:rsidRPr="00490E07">
        <w:rPr>
          <w:rFonts w:ascii="Arial" w:hAnsi="Arial" w:cs="Arial"/>
        </w:rPr>
        <w:t>.</w:t>
      </w:r>
    </w:p>
    <w:p w14:paraId="7F5EA5AF" w14:textId="77777777" w:rsidR="008E6FBD" w:rsidRPr="00490E07" w:rsidRDefault="008E6FBD" w:rsidP="00490E07">
      <w:pPr>
        <w:pStyle w:val="NormalWeb"/>
        <w:spacing w:before="0" w:beforeAutospacing="0" w:after="0" w:afterAutospacing="0"/>
        <w:ind w:left="714"/>
        <w:rPr>
          <w:rFonts w:ascii="Arial" w:hAnsi="Arial" w:cs="Arial"/>
        </w:rPr>
      </w:pPr>
    </w:p>
    <w:p w14:paraId="201F4D98" w14:textId="29B67CAB" w:rsidR="00B7217C" w:rsidRPr="00490E07" w:rsidRDefault="00B7217C" w:rsidP="00490E07">
      <w:pPr>
        <w:pStyle w:val="NormalWeb"/>
        <w:numPr>
          <w:ilvl w:val="0"/>
          <w:numId w:val="5"/>
        </w:numPr>
        <w:spacing w:before="0" w:beforeAutospacing="0" w:after="0" w:afterAutospacing="0"/>
        <w:ind w:left="714" w:hanging="357"/>
        <w:rPr>
          <w:rFonts w:ascii="Arial" w:hAnsi="Arial" w:cs="Arial"/>
        </w:rPr>
      </w:pPr>
      <w:r w:rsidRPr="00490E07">
        <w:rPr>
          <w:rFonts w:ascii="Arial" w:hAnsi="Arial" w:cs="Arial"/>
        </w:rPr>
        <w:t xml:space="preserve">Meaning of openness, </w:t>
      </w:r>
      <w:r w:rsidR="00D5170A" w:rsidRPr="00490E07">
        <w:rPr>
          <w:rFonts w:ascii="Arial" w:hAnsi="Arial" w:cs="Arial"/>
        </w:rPr>
        <w:t>transparency,</w:t>
      </w:r>
      <w:r w:rsidRPr="00490E07">
        <w:rPr>
          <w:rFonts w:ascii="Arial" w:hAnsi="Arial" w:cs="Arial"/>
        </w:rPr>
        <w:t xml:space="preserve"> and candour</w:t>
      </w:r>
      <w:r w:rsidR="008E6FBD" w:rsidRPr="00490E07">
        <w:rPr>
          <w:rFonts w:ascii="Arial" w:hAnsi="Arial" w:cs="Arial"/>
        </w:rPr>
        <w:t>.</w:t>
      </w:r>
      <w:r w:rsidRPr="00490E07">
        <w:rPr>
          <w:rFonts w:ascii="Arial" w:hAnsi="Arial" w:cs="Arial"/>
        </w:rPr>
        <w:t xml:space="preserve"> </w:t>
      </w:r>
    </w:p>
    <w:p w14:paraId="466E4C8F" w14:textId="77777777" w:rsidR="008E6FBD" w:rsidRPr="00490E07" w:rsidRDefault="008E6FBD" w:rsidP="00490E0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61F62ACB" w14:textId="3BB5FF37" w:rsidR="00B7217C" w:rsidRDefault="00B7217C" w:rsidP="00490E07">
      <w:pPr>
        <w:pStyle w:val="NormalWeb"/>
        <w:numPr>
          <w:ilvl w:val="0"/>
          <w:numId w:val="5"/>
        </w:numPr>
        <w:spacing w:before="0" w:beforeAutospacing="0" w:after="0" w:afterAutospacing="0"/>
        <w:ind w:left="714" w:hanging="357"/>
        <w:rPr>
          <w:rFonts w:ascii="Arial" w:hAnsi="Arial" w:cs="Arial"/>
        </w:rPr>
      </w:pPr>
      <w:r w:rsidRPr="00490E07">
        <w:rPr>
          <w:rFonts w:ascii="Arial" w:hAnsi="Arial" w:cs="Arial"/>
        </w:rPr>
        <w:t xml:space="preserve">What </w:t>
      </w:r>
      <w:r w:rsidR="001E5560" w:rsidRPr="00490E07">
        <w:rPr>
          <w:rFonts w:ascii="Arial" w:hAnsi="Arial" w:cs="Arial"/>
        </w:rPr>
        <w:t xml:space="preserve">Duty of Candour </w:t>
      </w:r>
      <w:r w:rsidR="008E6FBD" w:rsidRPr="00490E07">
        <w:rPr>
          <w:rFonts w:ascii="Arial" w:hAnsi="Arial" w:cs="Arial"/>
        </w:rPr>
        <w:t xml:space="preserve">looks like in </w:t>
      </w:r>
      <w:r w:rsidRPr="00490E07">
        <w:rPr>
          <w:rFonts w:ascii="Arial" w:hAnsi="Arial" w:cs="Arial"/>
        </w:rPr>
        <w:t>practice, the benefits of getting it right and consequences of getting it wrong</w:t>
      </w:r>
      <w:r w:rsidR="008E6FBD" w:rsidRPr="00490E07">
        <w:rPr>
          <w:rFonts w:ascii="Arial" w:hAnsi="Arial" w:cs="Arial"/>
        </w:rPr>
        <w:t>.</w:t>
      </w:r>
    </w:p>
    <w:p w14:paraId="14145434" w14:textId="77777777" w:rsidR="00490E07" w:rsidRDefault="00490E07" w:rsidP="00490E07">
      <w:pPr>
        <w:pStyle w:val="ListParagraph"/>
        <w:rPr>
          <w:rFonts w:ascii="Arial" w:hAnsi="Arial" w:cs="Arial"/>
        </w:rPr>
      </w:pPr>
    </w:p>
    <w:p w14:paraId="500CBF51" w14:textId="77777777" w:rsidR="00490E07" w:rsidRPr="00490E07" w:rsidRDefault="00490E07" w:rsidP="00490E07">
      <w:pPr>
        <w:pStyle w:val="NormalWeb"/>
        <w:spacing w:before="0" w:beforeAutospacing="0" w:after="0" w:afterAutospacing="0"/>
        <w:ind w:left="714"/>
        <w:rPr>
          <w:rFonts w:ascii="Arial" w:hAnsi="Arial" w:cs="Arial"/>
        </w:rPr>
      </w:pPr>
    </w:p>
    <w:p w14:paraId="3BD4A3C2" w14:textId="3B441127" w:rsidR="00B7217C" w:rsidRPr="00490E07" w:rsidRDefault="00B7217C" w:rsidP="00490E07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  <w:r w:rsidRPr="00490E07">
        <w:rPr>
          <w:rFonts w:ascii="Arial" w:hAnsi="Arial" w:cs="Arial"/>
        </w:rPr>
        <w:t xml:space="preserve">The workshop includes facilitated group discussion </w:t>
      </w:r>
      <w:r w:rsidR="00D5170A">
        <w:rPr>
          <w:rFonts w:ascii="Arial" w:hAnsi="Arial" w:cs="Arial"/>
        </w:rPr>
        <w:t xml:space="preserve">through </w:t>
      </w:r>
      <w:r w:rsidRPr="00490E07">
        <w:rPr>
          <w:rFonts w:ascii="Arial" w:hAnsi="Arial" w:cs="Arial"/>
        </w:rPr>
        <w:t>case stud</w:t>
      </w:r>
      <w:r w:rsidR="00D5170A">
        <w:rPr>
          <w:rFonts w:ascii="Arial" w:hAnsi="Arial" w:cs="Arial"/>
        </w:rPr>
        <w:t xml:space="preserve">y review </w:t>
      </w:r>
      <w:r w:rsidRPr="00490E07">
        <w:rPr>
          <w:rFonts w:ascii="Arial" w:hAnsi="Arial" w:cs="Arial"/>
        </w:rPr>
        <w:t xml:space="preserve">to allow </w:t>
      </w:r>
      <w:r w:rsidR="008E6FBD" w:rsidRPr="00490E07">
        <w:rPr>
          <w:rFonts w:ascii="Arial" w:hAnsi="Arial" w:cs="Arial"/>
        </w:rPr>
        <w:t>learners</w:t>
      </w:r>
      <w:r w:rsidRPr="00490E07">
        <w:rPr>
          <w:rFonts w:ascii="Arial" w:hAnsi="Arial" w:cs="Arial"/>
        </w:rPr>
        <w:t xml:space="preserve"> to explore how they would respond to different scenarios</w:t>
      </w:r>
      <w:r w:rsidR="00490E07" w:rsidRPr="00490E07">
        <w:rPr>
          <w:rFonts w:ascii="Arial" w:hAnsi="Arial" w:cs="Arial"/>
        </w:rPr>
        <w:t xml:space="preserve"> when applying Duty of Candour </w:t>
      </w:r>
      <w:r w:rsidR="00D5170A">
        <w:rPr>
          <w:rFonts w:ascii="Arial" w:hAnsi="Arial" w:cs="Arial"/>
        </w:rPr>
        <w:t xml:space="preserve">within </w:t>
      </w:r>
      <w:r w:rsidR="00490E07" w:rsidRPr="00490E07">
        <w:rPr>
          <w:rFonts w:ascii="Arial" w:hAnsi="Arial" w:cs="Arial"/>
        </w:rPr>
        <w:t xml:space="preserve">their </w:t>
      </w:r>
      <w:r w:rsidR="00D5170A">
        <w:rPr>
          <w:rFonts w:ascii="Arial" w:hAnsi="Arial" w:cs="Arial"/>
        </w:rPr>
        <w:t xml:space="preserve">own </w:t>
      </w:r>
      <w:r w:rsidR="00490E07" w:rsidRPr="00490E07">
        <w:rPr>
          <w:rFonts w:ascii="Arial" w:hAnsi="Arial" w:cs="Arial"/>
        </w:rPr>
        <w:t>practice</w:t>
      </w:r>
      <w:r w:rsidR="00D5170A">
        <w:rPr>
          <w:rFonts w:ascii="Arial" w:hAnsi="Arial" w:cs="Arial"/>
        </w:rPr>
        <w:t xml:space="preserve"> and across their clinical service</w:t>
      </w:r>
      <w:r w:rsidRPr="00490E07">
        <w:rPr>
          <w:rFonts w:ascii="Arial" w:hAnsi="Arial" w:cs="Arial"/>
        </w:rPr>
        <w:t xml:space="preserve">. </w:t>
      </w:r>
    </w:p>
    <w:p w14:paraId="3CAED367" w14:textId="19F0DE6D" w:rsidR="008F3594" w:rsidRDefault="008F3594" w:rsidP="008E6FBD">
      <w:pPr>
        <w:pStyle w:val="NormalWeb"/>
        <w:rPr>
          <w:rFonts w:ascii="Arial" w:hAnsi="Arial" w:cs="Arial"/>
        </w:rPr>
      </w:pPr>
    </w:p>
    <w:p w14:paraId="4891C46E" w14:textId="1B2978B8" w:rsidR="008F3594" w:rsidRDefault="008F3594" w:rsidP="008E6FBD">
      <w:pPr>
        <w:pStyle w:val="NormalWeb"/>
        <w:rPr>
          <w:rFonts w:ascii="Arial" w:hAnsi="Arial" w:cs="Arial"/>
        </w:rPr>
      </w:pPr>
    </w:p>
    <w:p w14:paraId="70891716" w14:textId="423CA0D5" w:rsidR="008F3594" w:rsidRDefault="008F3594" w:rsidP="008E6FBD">
      <w:pPr>
        <w:pStyle w:val="NormalWeb"/>
        <w:rPr>
          <w:rFonts w:ascii="Arial" w:hAnsi="Arial" w:cs="Arial"/>
        </w:rPr>
      </w:pPr>
    </w:p>
    <w:p w14:paraId="2AF2EFB6" w14:textId="77777777" w:rsidR="00D5170A" w:rsidRPr="008E6FBD" w:rsidRDefault="00D5170A" w:rsidP="008E6FBD">
      <w:pPr>
        <w:pStyle w:val="NormalWeb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678"/>
        <w:gridCol w:w="2636"/>
      </w:tblGrid>
      <w:tr w:rsidR="00B7217C" w:rsidRPr="0046682C" w14:paraId="1C9A2A62" w14:textId="77777777" w:rsidTr="008F3594">
        <w:tc>
          <w:tcPr>
            <w:tcW w:w="9010" w:type="dxa"/>
            <w:gridSpan w:val="3"/>
            <w:shd w:val="clear" w:color="auto" w:fill="D9E2F3" w:themeFill="accent1" w:themeFillTint="33"/>
          </w:tcPr>
          <w:p w14:paraId="68B39E5C" w14:textId="77777777" w:rsidR="00B7217C" w:rsidRPr="004566FA" w:rsidRDefault="00B7217C" w:rsidP="00A72F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66FA">
              <w:rPr>
                <w:rFonts w:ascii="Arial" w:hAnsi="Arial" w:cs="Arial"/>
                <w:sz w:val="22"/>
                <w:szCs w:val="22"/>
              </w:rPr>
              <w:t xml:space="preserve">Duty of Candour Workshop </w:t>
            </w:r>
          </w:p>
          <w:p w14:paraId="4DCF165F" w14:textId="77777777" w:rsidR="00B7217C" w:rsidRPr="004566FA" w:rsidRDefault="00B7217C" w:rsidP="00A72F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217C" w:rsidRPr="0046682C" w14:paraId="538FBAD1" w14:textId="77777777" w:rsidTr="008F3594">
        <w:tc>
          <w:tcPr>
            <w:tcW w:w="1696" w:type="dxa"/>
          </w:tcPr>
          <w:p w14:paraId="6158AC58" w14:textId="77777777" w:rsidR="00B7217C" w:rsidRPr="004566FA" w:rsidRDefault="00B7217C" w:rsidP="00A72F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66FA">
              <w:rPr>
                <w:rFonts w:ascii="Arial" w:hAnsi="Arial" w:cs="Arial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4678" w:type="dxa"/>
          </w:tcPr>
          <w:p w14:paraId="21D89565" w14:textId="77777777" w:rsidR="00B7217C" w:rsidRPr="004566FA" w:rsidRDefault="00B7217C" w:rsidP="00A72F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66FA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</w:p>
          <w:p w14:paraId="0CE80CFA" w14:textId="77777777" w:rsidR="00B7217C" w:rsidRPr="004566FA" w:rsidRDefault="00B7217C" w:rsidP="00A72F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36" w:type="dxa"/>
          </w:tcPr>
          <w:p w14:paraId="3D4678A9" w14:textId="77777777" w:rsidR="00B7217C" w:rsidRPr="001F2A58" w:rsidRDefault="00B7217C" w:rsidP="00A72F08">
            <w:pPr>
              <w:rPr>
                <w:rFonts w:ascii="Arial" w:hAnsi="Arial" w:cs="Arial"/>
                <w:b/>
                <w:bCs/>
              </w:rPr>
            </w:pPr>
            <w:r w:rsidRPr="001F2A58">
              <w:rPr>
                <w:rFonts w:ascii="Arial" w:hAnsi="Arial" w:cs="Arial"/>
                <w:b/>
                <w:bCs/>
              </w:rPr>
              <w:t>Presenter</w:t>
            </w:r>
          </w:p>
        </w:tc>
      </w:tr>
      <w:tr w:rsidR="008F3594" w:rsidRPr="0046682C" w14:paraId="498F498E" w14:textId="77777777" w:rsidTr="0047030D">
        <w:tc>
          <w:tcPr>
            <w:tcW w:w="1696" w:type="dxa"/>
          </w:tcPr>
          <w:p w14:paraId="4BFED272" w14:textId="488C6F26" w:rsidR="008F3594" w:rsidRPr="004566FA" w:rsidRDefault="008F3594" w:rsidP="00A72F08">
            <w:pPr>
              <w:rPr>
                <w:rFonts w:ascii="Arial" w:hAnsi="Arial" w:cs="Arial"/>
                <w:sz w:val="22"/>
                <w:szCs w:val="22"/>
              </w:rPr>
            </w:pPr>
            <w:r w:rsidRPr="004566FA">
              <w:rPr>
                <w:rFonts w:ascii="Arial" w:hAnsi="Arial" w:cs="Arial"/>
                <w:sz w:val="22"/>
                <w:szCs w:val="22"/>
              </w:rPr>
              <w:t>09.15</w:t>
            </w:r>
            <w:r w:rsidR="00D34C7A">
              <w:rPr>
                <w:rFonts w:ascii="Arial" w:hAnsi="Arial" w:cs="Arial"/>
                <w:sz w:val="22"/>
                <w:szCs w:val="22"/>
              </w:rPr>
              <w:t>am</w:t>
            </w:r>
            <w:r w:rsidRPr="004566FA">
              <w:rPr>
                <w:rFonts w:ascii="Arial" w:hAnsi="Arial" w:cs="Arial"/>
                <w:sz w:val="22"/>
                <w:szCs w:val="22"/>
              </w:rPr>
              <w:t>- 09.30am</w:t>
            </w:r>
          </w:p>
          <w:p w14:paraId="09DC362F" w14:textId="77777777" w:rsidR="008F3594" w:rsidRPr="004566FA" w:rsidRDefault="008F3594" w:rsidP="00A72F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14" w:type="dxa"/>
            <w:gridSpan w:val="2"/>
          </w:tcPr>
          <w:p w14:paraId="7D3A8863" w14:textId="356D8122" w:rsidR="008F3594" w:rsidRPr="004566FA" w:rsidRDefault="008F3594" w:rsidP="00A72F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66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Registration </w:t>
            </w:r>
          </w:p>
        </w:tc>
      </w:tr>
      <w:tr w:rsidR="00B7217C" w:rsidRPr="0046682C" w14:paraId="5832A7F6" w14:textId="77777777" w:rsidTr="008F3594">
        <w:tc>
          <w:tcPr>
            <w:tcW w:w="1696" w:type="dxa"/>
            <w:tcBorders>
              <w:bottom w:val="single" w:sz="4" w:space="0" w:color="auto"/>
            </w:tcBorders>
          </w:tcPr>
          <w:p w14:paraId="1905B5B7" w14:textId="3DABB3BC" w:rsidR="00B7217C" w:rsidRPr="004566FA" w:rsidRDefault="00B7217C" w:rsidP="00A72F08">
            <w:pPr>
              <w:rPr>
                <w:rFonts w:ascii="Arial" w:hAnsi="Arial" w:cs="Arial"/>
                <w:sz w:val="22"/>
                <w:szCs w:val="22"/>
              </w:rPr>
            </w:pPr>
            <w:r w:rsidRPr="004566FA">
              <w:rPr>
                <w:rFonts w:ascii="Arial" w:hAnsi="Arial" w:cs="Arial"/>
                <w:sz w:val="22"/>
                <w:szCs w:val="22"/>
              </w:rPr>
              <w:t>09.30</w:t>
            </w:r>
            <w:r w:rsidR="00D34C7A">
              <w:rPr>
                <w:rFonts w:ascii="Arial" w:hAnsi="Arial" w:cs="Arial"/>
                <w:sz w:val="22"/>
                <w:szCs w:val="22"/>
              </w:rPr>
              <w:t>am</w:t>
            </w:r>
            <w:r w:rsidRPr="004566FA">
              <w:rPr>
                <w:rFonts w:ascii="Arial" w:hAnsi="Arial" w:cs="Arial"/>
                <w:sz w:val="22"/>
                <w:szCs w:val="22"/>
              </w:rPr>
              <w:t xml:space="preserve"> – 1</w:t>
            </w:r>
            <w:r w:rsidR="00D34C7A">
              <w:rPr>
                <w:rFonts w:ascii="Arial" w:hAnsi="Arial" w:cs="Arial"/>
                <w:sz w:val="22"/>
                <w:szCs w:val="22"/>
              </w:rPr>
              <w:t>0</w:t>
            </w:r>
            <w:r w:rsidR="0046682C" w:rsidRPr="004566FA">
              <w:rPr>
                <w:rFonts w:ascii="Arial" w:hAnsi="Arial" w:cs="Arial"/>
                <w:sz w:val="22"/>
                <w:szCs w:val="22"/>
              </w:rPr>
              <w:t>.</w:t>
            </w:r>
            <w:r w:rsidR="00D34C7A">
              <w:rPr>
                <w:rFonts w:ascii="Arial" w:hAnsi="Arial" w:cs="Arial"/>
                <w:sz w:val="22"/>
                <w:szCs w:val="22"/>
              </w:rPr>
              <w:t>30</w:t>
            </w:r>
            <w:r w:rsidRPr="004566FA">
              <w:rPr>
                <w:rFonts w:ascii="Arial" w:hAnsi="Arial" w:cs="Arial"/>
                <w:sz w:val="22"/>
                <w:szCs w:val="22"/>
              </w:rPr>
              <w:t>am</w:t>
            </w:r>
          </w:p>
          <w:p w14:paraId="0B18DAE4" w14:textId="77777777" w:rsidR="00B7217C" w:rsidRPr="004566FA" w:rsidRDefault="00B7217C" w:rsidP="00A72F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3A79120C" w14:textId="44DC77AC" w:rsidR="001E5560" w:rsidRPr="004566FA" w:rsidRDefault="0046682C" w:rsidP="001E5560">
            <w:pPr>
              <w:rPr>
                <w:rFonts w:ascii="Arial" w:hAnsi="Arial" w:cs="Arial"/>
                <w:b/>
                <w:bCs/>
                <w:color w:val="4472C4" w:themeColor="accent1"/>
                <w:spacing w:val="1"/>
                <w:sz w:val="22"/>
                <w:szCs w:val="22"/>
                <w:shd w:val="clear" w:color="auto" w:fill="FFFFFF"/>
              </w:rPr>
            </w:pPr>
            <w:r w:rsidRPr="004566FA">
              <w:rPr>
                <w:rFonts w:ascii="Arial" w:hAnsi="Arial" w:cs="Arial"/>
                <w:b/>
                <w:bCs/>
                <w:color w:val="4472C4" w:themeColor="accent1"/>
                <w:spacing w:val="1"/>
                <w:sz w:val="22"/>
                <w:szCs w:val="22"/>
                <w:shd w:val="clear" w:color="auto" w:fill="FFFFFF"/>
              </w:rPr>
              <w:t xml:space="preserve">Define and understand </w:t>
            </w:r>
            <w:r w:rsidR="001E5560" w:rsidRPr="004566FA">
              <w:rPr>
                <w:rFonts w:ascii="Arial" w:hAnsi="Arial" w:cs="Arial"/>
                <w:b/>
                <w:bCs/>
                <w:color w:val="4472C4" w:themeColor="accent1"/>
                <w:spacing w:val="1"/>
                <w:sz w:val="22"/>
                <w:szCs w:val="22"/>
                <w:shd w:val="clear" w:color="auto" w:fill="FFFFFF"/>
              </w:rPr>
              <w:t>the statutory</w:t>
            </w:r>
            <w:r w:rsidR="0048032C">
              <w:rPr>
                <w:rFonts w:ascii="Arial" w:hAnsi="Arial" w:cs="Arial"/>
                <w:b/>
                <w:bCs/>
                <w:color w:val="4472C4" w:themeColor="accent1"/>
                <w:spacing w:val="1"/>
                <w:sz w:val="22"/>
                <w:szCs w:val="22"/>
                <w:shd w:val="clear" w:color="auto" w:fill="FFFFFF"/>
              </w:rPr>
              <w:t xml:space="preserve"> and professional</w:t>
            </w:r>
            <w:r w:rsidR="001E5560" w:rsidRPr="004566FA">
              <w:rPr>
                <w:rFonts w:ascii="Arial" w:hAnsi="Arial" w:cs="Arial"/>
                <w:b/>
                <w:bCs/>
                <w:color w:val="4472C4" w:themeColor="accent1"/>
                <w:spacing w:val="1"/>
                <w:sz w:val="22"/>
                <w:szCs w:val="22"/>
                <w:shd w:val="clear" w:color="auto" w:fill="FFFFFF"/>
              </w:rPr>
              <w:t xml:space="preserve"> duty of candour:</w:t>
            </w:r>
          </w:p>
          <w:p w14:paraId="15852687" w14:textId="77777777" w:rsidR="0046682C" w:rsidRPr="004566FA" w:rsidRDefault="0046682C" w:rsidP="001E5560">
            <w:pPr>
              <w:rPr>
                <w:rFonts w:ascii="Arial" w:hAnsi="Arial" w:cs="Arial"/>
                <w:b/>
                <w:bCs/>
                <w:color w:val="4472C4" w:themeColor="accent1"/>
                <w:spacing w:val="1"/>
                <w:sz w:val="22"/>
                <w:szCs w:val="22"/>
                <w:shd w:val="clear" w:color="auto" w:fill="FFFFFF"/>
              </w:rPr>
            </w:pPr>
          </w:p>
          <w:p w14:paraId="05AAB923" w14:textId="0DA4F387" w:rsidR="00240F1E" w:rsidRDefault="0048032C" w:rsidP="00240F1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2B2B2D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2B2B2D"/>
                <w:spacing w:val="1"/>
                <w:sz w:val="22"/>
                <w:szCs w:val="22"/>
                <w:shd w:val="clear" w:color="auto" w:fill="FFFFFF"/>
              </w:rPr>
              <w:t xml:space="preserve">History how Duty of Candour evolved </w:t>
            </w:r>
          </w:p>
          <w:p w14:paraId="1C03B18D" w14:textId="2062B447" w:rsidR="0046682C" w:rsidRPr="00240F1E" w:rsidRDefault="0046682C" w:rsidP="00240F1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2B2B2D"/>
                <w:spacing w:val="1"/>
                <w:sz w:val="22"/>
                <w:szCs w:val="22"/>
                <w:shd w:val="clear" w:color="auto" w:fill="FFFFFF"/>
              </w:rPr>
            </w:pPr>
            <w:r w:rsidRPr="00240F1E">
              <w:rPr>
                <w:rFonts w:ascii="Arial" w:hAnsi="Arial" w:cs="Arial"/>
                <w:color w:val="2B2B2D"/>
                <w:spacing w:val="1"/>
                <w:sz w:val="22"/>
                <w:szCs w:val="22"/>
                <w:shd w:val="clear" w:color="auto" w:fill="FFFFFF"/>
              </w:rPr>
              <w:t>Regulation 20: Duty of candour</w:t>
            </w:r>
          </w:p>
          <w:p w14:paraId="4A182F03" w14:textId="58E7D674" w:rsidR="0046682C" w:rsidRDefault="00D34C7A" w:rsidP="00784CE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2B2B2D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2B2B2D"/>
                <w:spacing w:val="1"/>
                <w:sz w:val="22"/>
                <w:szCs w:val="22"/>
                <w:shd w:val="clear" w:color="auto" w:fill="FFFFFF"/>
              </w:rPr>
              <w:t xml:space="preserve">Duty of Candour </w:t>
            </w:r>
            <w:r w:rsidR="0046682C" w:rsidRPr="004566FA">
              <w:rPr>
                <w:rFonts w:ascii="Arial" w:hAnsi="Arial" w:cs="Arial"/>
                <w:color w:val="2B2B2D"/>
                <w:spacing w:val="1"/>
                <w:sz w:val="22"/>
                <w:szCs w:val="22"/>
                <w:shd w:val="clear" w:color="auto" w:fill="FFFFFF"/>
              </w:rPr>
              <w:t>Professional Guidance</w:t>
            </w:r>
          </w:p>
          <w:p w14:paraId="511AF93B" w14:textId="3361379D" w:rsidR="0048032C" w:rsidRDefault="0048032C" w:rsidP="00784CE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2B2B2D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2B2B2D"/>
                <w:spacing w:val="1"/>
                <w:sz w:val="22"/>
                <w:szCs w:val="22"/>
                <w:shd w:val="clear" w:color="auto" w:fill="FFFFFF"/>
              </w:rPr>
              <w:t>The importance of saying sorry</w:t>
            </w:r>
          </w:p>
          <w:p w14:paraId="243B2227" w14:textId="6BDF3E56" w:rsidR="0048032C" w:rsidRPr="004566FA" w:rsidRDefault="0048032C" w:rsidP="00784CE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2B2B2D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2B2B2D"/>
                <w:spacing w:val="1"/>
                <w:sz w:val="22"/>
                <w:szCs w:val="22"/>
                <w:shd w:val="clear" w:color="auto" w:fill="FFFFFF"/>
              </w:rPr>
              <w:t>Duty of Candour versus Duty of Care</w:t>
            </w:r>
          </w:p>
          <w:p w14:paraId="6BC74888" w14:textId="369E7085" w:rsidR="00B7217C" w:rsidRDefault="0046682C" w:rsidP="00D34C7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2B2B2D"/>
                <w:spacing w:val="1"/>
                <w:sz w:val="22"/>
                <w:szCs w:val="22"/>
                <w:shd w:val="clear" w:color="auto" w:fill="FFFFFF"/>
              </w:rPr>
            </w:pPr>
            <w:r w:rsidRPr="004566FA">
              <w:rPr>
                <w:rFonts w:ascii="Arial" w:hAnsi="Arial" w:cs="Arial"/>
                <w:color w:val="2B2B2D"/>
                <w:spacing w:val="1"/>
                <w:sz w:val="22"/>
                <w:szCs w:val="22"/>
                <w:shd w:val="clear" w:color="auto" w:fill="FFFFFF"/>
              </w:rPr>
              <w:t xml:space="preserve">Mersey Care’s </w:t>
            </w:r>
            <w:r w:rsidR="004566FA">
              <w:rPr>
                <w:rFonts w:ascii="Arial" w:hAnsi="Arial" w:cs="Arial"/>
                <w:color w:val="2B2B2D"/>
                <w:spacing w:val="1"/>
                <w:sz w:val="22"/>
                <w:szCs w:val="22"/>
                <w:shd w:val="clear" w:color="auto" w:fill="FFFFFF"/>
              </w:rPr>
              <w:t xml:space="preserve">Policy - </w:t>
            </w:r>
            <w:r w:rsidRPr="004566FA">
              <w:rPr>
                <w:rFonts w:ascii="Arial" w:hAnsi="Arial" w:cs="Arial"/>
                <w:color w:val="2B2B2D"/>
                <w:spacing w:val="1"/>
                <w:sz w:val="22"/>
                <w:szCs w:val="22"/>
                <w:shd w:val="clear" w:color="auto" w:fill="FFFFFF"/>
              </w:rPr>
              <w:t>Being Open, including Duty of Candour</w:t>
            </w:r>
          </w:p>
          <w:p w14:paraId="774F6A5E" w14:textId="4CF5E69F" w:rsidR="0048032C" w:rsidRDefault="0048032C" w:rsidP="00D34C7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2B2B2D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2B2B2D"/>
                <w:spacing w:val="1"/>
                <w:sz w:val="22"/>
                <w:szCs w:val="22"/>
                <w:shd w:val="clear" w:color="auto" w:fill="FFFFFF"/>
              </w:rPr>
              <w:t xml:space="preserve">Record Keeping </w:t>
            </w:r>
          </w:p>
          <w:p w14:paraId="53921326" w14:textId="4C90D850" w:rsidR="00D34C7A" w:rsidRPr="00D34C7A" w:rsidRDefault="00D34C7A" w:rsidP="00D34C7A">
            <w:pPr>
              <w:pStyle w:val="ListParagraph"/>
              <w:rPr>
                <w:rFonts w:ascii="Arial" w:hAnsi="Arial" w:cs="Arial"/>
                <w:color w:val="2B2B2D"/>
                <w:spacing w:val="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36" w:type="dxa"/>
            <w:tcBorders>
              <w:bottom w:val="single" w:sz="4" w:space="0" w:color="auto"/>
            </w:tcBorders>
          </w:tcPr>
          <w:p w14:paraId="25F58D18" w14:textId="79CCF506" w:rsidR="00B7217C" w:rsidRPr="0046682C" w:rsidRDefault="008F3594" w:rsidP="00A72F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Jennie Stanley </w:t>
            </w:r>
          </w:p>
        </w:tc>
      </w:tr>
      <w:tr w:rsidR="008F3594" w:rsidRPr="0046682C" w14:paraId="67F085BB" w14:textId="77777777" w:rsidTr="008F3594">
        <w:tc>
          <w:tcPr>
            <w:tcW w:w="9010" w:type="dxa"/>
            <w:gridSpan w:val="3"/>
            <w:shd w:val="clear" w:color="auto" w:fill="D9E2F3" w:themeFill="accent1" w:themeFillTint="33"/>
          </w:tcPr>
          <w:p w14:paraId="425933A5" w14:textId="77777777" w:rsidR="008F3594" w:rsidRPr="004566FA" w:rsidRDefault="008F3594" w:rsidP="008F35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99CBA4B" w14:textId="77777777" w:rsidR="008F3594" w:rsidRPr="004566FA" w:rsidRDefault="008F3594" w:rsidP="008F35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66FA">
              <w:rPr>
                <w:rFonts w:ascii="Arial" w:hAnsi="Arial" w:cs="Arial"/>
                <w:b/>
                <w:bCs/>
                <w:sz w:val="22"/>
                <w:szCs w:val="22"/>
              </w:rPr>
              <w:t>Comfort Break</w:t>
            </w:r>
          </w:p>
          <w:p w14:paraId="21C043AA" w14:textId="70892D53" w:rsidR="00490E07" w:rsidRPr="004566FA" w:rsidRDefault="00490E07" w:rsidP="008F35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217C" w:rsidRPr="0046682C" w14:paraId="5E8BB531" w14:textId="77777777" w:rsidTr="008F3594">
        <w:tc>
          <w:tcPr>
            <w:tcW w:w="1696" w:type="dxa"/>
            <w:tcBorders>
              <w:bottom w:val="single" w:sz="4" w:space="0" w:color="auto"/>
            </w:tcBorders>
          </w:tcPr>
          <w:p w14:paraId="114740E3" w14:textId="688A0B50" w:rsidR="00B7217C" w:rsidRPr="004566FA" w:rsidRDefault="00B7217C" w:rsidP="00A72F08">
            <w:pPr>
              <w:rPr>
                <w:rFonts w:ascii="Arial" w:hAnsi="Arial" w:cs="Arial"/>
                <w:sz w:val="22"/>
                <w:szCs w:val="22"/>
              </w:rPr>
            </w:pPr>
            <w:r w:rsidRPr="004566FA">
              <w:rPr>
                <w:rFonts w:ascii="Arial" w:hAnsi="Arial" w:cs="Arial"/>
                <w:sz w:val="22"/>
                <w:szCs w:val="22"/>
              </w:rPr>
              <w:t>1</w:t>
            </w:r>
            <w:r w:rsidR="00D34C7A">
              <w:rPr>
                <w:rFonts w:ascii="Arial" w:hAnsi="Arial" w:cs="Arial"/>
                <w:sz w:val="22"/>
                <w:szCs w:val="22"/>
              </w:rPr>
              <w:t>0.</w:t>
            </w:r>
            <w:r w:rsidR="00240F1E">
              <w:rPr>
                <w:rFonts w:ascii="Arial" w:hAnsi="Arial" w:cs="Arial"/>
                <w:sz w:val="22"/>
                <w:szCs w:val="22"/>
              </w:rPr>
              <w:t>30</w:t>
            </w:r>
            <w:r w:rsidR="00D34C7A">
              <w:rPr>
                <w:rFonts w:ascii="Arial" w:hAnsi="Arial" w:cs="Arial"/>
                <w:sz w:val="22"/>
                <w:szCs w:val="22"/>
              </w:rPr>
              <w:t>am</w:t>
            </w:r>
            <w:r w:rsidRPr="004566FA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240F1E">
              <w:rPr>
                <w:rFonts w:ascii="Arial" w:hAnsi="Arial" w:cs="Arial"/>
                <w:sz w:val="22"/>
                <w:szCs w:val="22"/>
              </w:rPr>
              <w:t>11.15a</w:t>
            </w:r>
            <w:r w:rsidRPr="004566FA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4C7063F7" w14:textId="77777777" w:rsidR="00B7217C" w:rsidRPr="004566FA" w:rsidRDefault="0046682C" w:rsidP="00A72F08">
            <w:pPr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  <w:r w:rsidRPr="004566FA"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  <w:t>Case Study:</w:t>
            </w:r>
          </w:p>
          <w:p w14:paraId="3F5F7FD2" w14:textId="0D81EC9A" w:rsidR="0046682C" w:rsidRPr="004566FA" w:rsidRDefault="0046682C" w:rsidP="00A72F08">
            <w:pPr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</w:p>
          <w:p w14:paraId="4C5E98ED" w14:textId="6B1527EC" w:rsidR="00D5170A" w:rsidRDefault="00D5170A" w:rsidP="00D5170A">
            <w:pPr>
              <w:pStyle w:val="ListParagraph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  <w:p w14:paraId="25A98471" w14:textId="77777777" w:rsidR="00240F1E" w:rsidRPr="00240F1E" w:rsidRDefault="00240F1E" w:rsidP="00240F1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590F1CB" w14:textId="0EB7E1D6" w:rsidR="0046682C" w:rsidRPr="004566FA" w:rsidRDefault="0046682C" w:rsidP="00A72F08">
            <w:pPr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</w:p>
        </w:tc>
        <w:tc>
          <w:tcPr>
            <w:tcW w:w="2636" w:type="dxa"/>
            <w:tcBorders>
              <w:bottom w:val="single" w:sz="4" w:space="0" w:color="auto"/>
            </w:tcBorders>
          </w:tcPr>
          <w:p w14:paraId="5498F4D4" w14:textId="58D6B708" w:rsidR="00B7217C" w:rsidRDefault="00B7217C" w:rsidP="00A72F08">
            <w:pPr>
              <w:rPr>
                <w:rFonts w:ascii="Arial" w:hAnsi="Arial" w:cs="Arial"/>
              </w:rPr>
            </w:pPr>
            <w:r w:rsidRPr="0046682C">
              <w:rPr>
                <w:rFonts w:ascii="Arial" w:hAnsi="Arial" w:cs="Arial"/>
              </w:rPr>
              <w:t xml:space="preserve">Jennie Stanley </w:t>
            </w:r>
          </w:p>
          <w:p w14:paraId="7CE7AAAD" w14:textId="786BCE35" w:rsidR="001F2A58" w:rsidRPr="0046682C" w:rsidRDefault="001F2A58" w:rsidP="00D34C7A">
            <w:pPr>
              <w:rPr>
                <w:rFonts w:ascii="Arial" w:hAnsi="Arial" w:cs="Arial"/>
              </w:rPr>
            </w:pPr>
          </w:p>
        </w:tc>
      </w:tr>
      <w:tr w:rsidR="00B7217C" w:rsidRPr="0046682C" w14:paraId="281DBD26" w14:textId="77777777" w:rsidTr="008F3594">
        <w:tc>
          <w:tcPr>
            <w:tcW w:w="1696" w:type="dxa"/>
          </w:tcPr>
          <w:p w14:paraId="5804B052" w14:textId="11C6C0D2" w:rsidR="00B7217C" w:rsidRPr="004566FA" w:rsidRDefault="00D34C7A" w:rsidP="00A72F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240F1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.15</w:t>
            </w:r>
            <w:r w:rsidR="008F3594" w:rsidRPr="004566FA">
              <w:rPr>
                <w:rFonts w:ascii="Arial" w:hAnsi="Arial" w:cs="Arial"/>
                <w:sz w:val="22"/>
                <w:szCs w:val="22"/>
              </w:rPr>
              <w:t xml:space="preserve">pm –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240F1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.30</w:t>
            </w:r>
            <w:r w:rsidR="008F3594" w:rsidRPr="004566FA">
              <w:rPr>
                <w:rFonts w:ascii="Arial" w:hAnsi="Arial" w:cs="Arial"/>
                <w:sz w:val="22"/>
                <w:szCs w:val="22"/>
              </w:rPr>
              <w:t>pm</w:t>
            </w:r>
          </w:p>
        </w:tc>
        <w:tc>
          <w:tcPr>
            <w:tcW w:w="4678" w:type="dxa"/>
          </w:tcPr>
          <w:p w14:paraId="46ED1BF2" w14:textId="2B0EA87C" w:rsidR="00B7217C" w:rsidRPr="004566FA" w:rsidRDefault="008F3594" w:rsidP="00A72F08">
            <w:pPr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  <w:r w:rsidRPr="004566FA"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  <w:t>Summary and Questions</w:t>
            </w:r>
          </w:p>
        </w:tc>
        <w:tc>
          <w:tcPr>
            <w:tcW w:w="2636" w:type="dxa"/>
          </w:tcPr>
          <w:p w14:paraId="1155EACF" w14:textId="2947BF42" w:rsidR="00B7217C" w:rsidRPr="0046682C" w:rsidRDefault="008F3594" w:rsidP="00A72F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Jennie Stanley </w:t>
            </w:r>
          </w:p>
        </w:tc>
      </w:tr>
    </w:tbl>
    <w:p w14:paraId="6214028F" w14:textId="77777777" w:rsidR="008426DC" w:rsidRPr="0046682C" w:rsidRDefault="00C07862"/>
    <w:sectPr w:rsidR="008426DC" w:rsidRPr="0046682C" w:rsidSect="000A3C3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E7D92"/>
    <w:multiLevelType w:val="hybridMultilevel"/>
    <w:tmpl w:val="2C680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272C5"/>
    <w:multiLevelType w:val="multilevel"/>
    <w:tmpl w:val="9CAA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90BEE"/>
    <w:multiLevelType w:val="hybridMultilevel"/>
    <w:tmpl w:val="C8B20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E14CE"/>
    <w:multiLevelType w:val="hybridMultilevel"/>
    <w:tmpl w:val="CF56A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A1583"/>
    <w:multiLevelType w:val="multilevel"/>
    <w:tmpl w:val="F5406206"/>
    <w:lvl w:ilvl="0">
      <w:start w:val="1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2250311"/>
    <w:multiLevelType w:val="hybridMultilevel"/>
    <w:tmpl w:val="8E526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34C69"/>
    <w:multiLevelType w:val="multilevel"/>
    <w:tmpl w:val="5D6EC882"/>
    <w:lvl w:ilvl="0">
      <w:start w:val="13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B641997"/>
    <w:multiLevelType w:val="multilevel"/>
    <w:tmpl w:val="B35E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AE19A6"/>
    <w:multiLevelType w:val="hybridMultilevel"/>
    <w:tmpl w:val="572E0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B3B28"/>
    <w:multiLevelType w:val="hybridMultilevel"/>
    <w:tmpl w:val="63A29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62465"/>
    <w:multiLevelType w:val="multilevel"/>
    <w:tmpl w:val="CACC9C58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63334C1"/>
    <w:multiLevelType w:val="hybridMultilevel"/>
    <w:tmpl w:val="F9AE3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C5D94"/>
    <w:multiLevelType w:val="hybridMultilevel"/>
    <w:tmpl w:val="7E866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F37EB7"/>
    <w:multiLevelType w:val="multilevel"/>
    <w:tmpl w:val="000E5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A03A3E"/>
    <w:multiLevelType w:val="hybridMultilevel"/>
    <w:tmpl w:val="35DC81F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A0128"/>
    <w:multiLevelType w:val="hybridMultilevel"/>
    <w:tmpl w:val="17C2B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101761">
    <w:abstractNumId w:val="4"/>
  </w:num>
  <w:num w:numId="2" w16cid:durableId="1983001930">
    <w:abstractNumId w:val="10"/>
  </w:num>
  <w:num w:numId="3" w16cid:durableId="621111719">
    <w:abstractNumId w:val="6"/>
  </w:num>
  <w:num w:numId="4" w16cid:durableId="1301495848">
    <w:abstractNumId w:val="13"/>
  </w:num>
  <w:num w:numId="5" w16cid:durableId="793140912">
    <w:abstractNumId w:val="0"/>
  </w:num>
  <w:num w:numId="6" w16cid:durableId="1999768296">
    <w:abstractNumId w:val="11"/>
  </w:num>
  <w:num w:numId="7" w16cid:durableId="567499994">
    <w:abstractNumId w:val="7"/>
  </w:num>
  <w:num w:numId="8" w16cid:durableId="1318995451">
    <w:abstractNumId w:val="1"/>
  </w:num>
  <w:num w:numId="9" w16cid:durableId="1135022860">
    <w:abstractNumId w:val="8"/>
  </w:num>
  <w:num w:numId="10" w16cid:durableId="1515613035">
    <w:abstractNumId w:val="15"/>
  </w:num>
  <w:num w:numId="11" w16cid:durableId="369959005">
    <w:abstractNumId w:val="9"/>
  </w:num>
  <w:num w:numId="12" w16cid:durableId="1227185657">
    <w:abstractNumId w:val="2"/>
  </w:num>
  <w:num w:numId="13" w16cid:durableId="1398016824">
    <w:abstractNumId w:val="5"/>
  </w:num>
  <w:num w:numId="14" w16cid:durableId="1865820654">
    <w:abstractNumId w:val="3"/>
  </w:num>
  <w:num w:numId="15" w16cid:durableId="1124926273">
    <w:abstractNumId w:val="12"/>
  </w:num>
  <w:num w:numId="16" w16cid:durableId="10240943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8B"/>
    <w:rsid w:val="0007088B"/>
    <w:rsid w:val="000A3C35"/>
    <w:rsid w:val="0014369D"/>
    <w:rsid w:val="001E5560"/>
    <w:rsid w:val="001F2A58"/>
    <w:rsid w:val="002370D3"/>
    <w:rsid w:val="00240F1E"/>
    <w:rsid w:val="0031412C"/>
    <w:rsid w:val="00423B47"/>
    <w:rsid w:val="004566FA"/>
    <w:rsid w:val="0046682C"/>
    <w:rsid w:val="0048032C"/>
    <w:rsid w:val="00490E07"/>
    <w:rsid w:val="004A083A"/>
    <w:rsid w:val="00784CE2"/>
    <w:rsid w:val="008203BB"/>
    <w:rsid w:val="00850AB8"/>
    <w:rsid w:val="008E6FBD"/>
    <w:rsid w:val="008F3594"/>
    <w:rsid w:val="00915312"/>
    <w:rsid w:val="00B54931"/>
    <w:rsid w:val="00B7217C"/>
    <w:rsid w:val="00D34C7A"/>
    <w:rsid w:val="00D5170A"/>
    <w:rsid w:val="00D549D1"/>
    <w:rsid w:val="00F0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7BB9C"/>
  <w14:defaultImageDpi w14:val="32767"/>
  <w15:chartTrackingRefBased/>
  <w15:docId w15:val="{6537F478-7D90-584B-8250-89B4BE8A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0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088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721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B72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5102">
          <w:blockQuote w:val="1"/>
          <w:marLeft w:val="0"/>
          <w:marRight w:val="0"/>
          <w:marTop w:val="600"/>
          <w:marBottom w:val="0"/>
          <w:divBdr>
            <w:top w:val="none" w:sz="0" w:space="0" w:color="auto"/>
            <w:left w:val="single" w:sz="36" w:space="31" w:color="0568E3"/>
            <w:bottom w:val="none" w:sz="0" w:space="0" w:color="auto"/>
            <w:right w:val="none" w:sz="0" w:space="0" w:color="auto"/>
          </w:divBdr>
        </w:div>
      </w:divsChild>
    </w:div>
    <w:div w:id="875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815">
          <w:blockQuote w:val="1"/>
          <w:marLeft w:val="0"/>
          <w:marRight w:val="0"/>
          <w:marTop w:val="600"/>
          <w:marBottom w:val="0"/>
          <w:divBdr>
            <w:top w:val="none" w:sz="0" w:space="0" w:color="auto"/>
            <w:left w:val="single" w:sz="36" w:space="31" w:color="0568E3"/>
            <w:bottom w:val="none" w:sz="0" w:space="0" w:color="auto"/>
            <w:right w:val="none" w:sz="0" w:space="0" w:color="auto"/>
          </w:divBdr>
        </w:div>
      </w:divsChild>
    </w:div>
    <w:div w:id="5091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4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4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0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78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9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4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F64843BEB764E86BEC2F161BF7095" ma:contentTypeVersion="0" ma:contentTypeDescription="Create a new document." ma:contentTypeScope="" ma:versionID="1c57a859dd57a79a11b7cf3589372ca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8A1EB9-A6B7-478D-A440-34C6E3A44BD4}"/>
</file>

<file path=customXml/itemProps2.xml><?xml version="1.0" encoding="utf-8"?>
<ds:datastoreItem xmlns:ds="http://schemas.openxmlformats.org/officeDocument/2006/customXml" ds:itemID="{FA3B7F44-47DB-439B-9640-782EA712ACF0}"/>
</file>

<file path=customXml/itemProps3.xml><?xml version="1.0" encoding="utf-8"?>
<ds:datastoreItem xmlns:ds="http://schemas.openxmlformats.org/officeDocument/2006/customXml" ds:itemID="{DDDAEF1D-C161-40CD-B13C-E413617D44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Mersey Care Duty of Candour Workshop 2023</dc:title>
  <dc:subject/>
  <dc:creator>Jennie Fecitt</dc:creator>
  <cp:keywords/>
  <dc:description/>
  <cp:lastModifiedBy>Jennie Fecitt</cp:lastModifiedBy>
  <cp:revision>4</cp:revision>
  <dcterms:created xsi:type="dcterms:W3CDTF">2023-03-21T09:36:00Z</dcterms:created>
  <dcterms:modified xsi:type="dcterms:W3CDTF">2023-04-03T16:57:00Z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0x010100ACDF64843BEB764E86BEC2F161BF7095</vt:lpwstr>
  </property>
</Properties>
</file>